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образец-об-отказе-о-дачи-объяснений"/>
    <w:p>
      <w:pPr>
        <w:pStyle w:val="Heading3"/>
      </w:pPr>
      <w:r>
        <w:t xml:space="preserve">Образец об отказе о дачи объяснений</w:t>
      </w:r>
    </w:p>
    <w:p>
      <w:pPr>
        <w:pStyle w:val="FirstParagraph"/>
      </w:pPr>
      <w:r>
        <w:t xml:space="preserve">26.07.2017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http://cheremush.mos.ru/anti-corruption/forms-of-documents-related-to-anti-corruption-for-filling/detail/6555332.html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Черемушки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emush.mos.ru" TargetMode="External" /><Relationship Type="http://schemas.openxmlformats.org/officeDocument/2006/relationships/hyperlink" Id="rId20" Target="http://cheremush.mos.ru/anti-corruption/forms-of-documents-related-to-anti-corruption-for-filling/detail/655533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emush.mos.ru" TargetMode="External" /><Relationship Type="http://schemas.openxmlformats.org/officeDocument/2006/relationships/hyperlink" Id="rId20" Target="http://cheremush.mos.ru/anti-corruption/forms-of-documents-related-to-anti-corruption-for-filling/detail/655533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2025-07-17T08:45:35Z</dcterms:created>
  <dcterms:modified xsi:type="dcterms:W3CDTF">2025-07-17T08:45:35Z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