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9ef6f68c44579573f17897c80ed2a33c8923f"/>
    <w:p>
      <w:pPr>
        <w:pStyle w:val="Heading3"/>
      </w:pPr>
      <w:r>
        <w:t xml:space="preserve">О системе внутреннего обеспечения соответствия требованиям антимонопольного законодательства в управе района Черемушки города Москвы</w:t>
      </w:r>
    </w:p>
    <w:p>
      <w:pPr>
        <w:pStyle w:val="FirstParagraph"/>
      </w:pPr>
      <w:r>
        <w:t xml:space="preserve">01.03.2019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http://cheremush.mos.ru/anti-corruption/plans-papers-reports-reviews-static-information-on-combating-corruption/detail/7923020.html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plans-papers-reports-reviews-static-information-on-combating-corruption/detail/7923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plans-papers-reports-reviews-static-information-on-combating-corruption/detail/7923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2025-04-09T02:20:11Z</dcterms:created>
  <dcterms:modified xsi:type="dcterms:W3CDTF">2025-04-09T02:20:11Z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