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арта-рисков-управы-района-черемушки"/>
    <w:p>
      <w:pPr>
        <w:pStyle w:val="Heading3"/>
      </w:pPr>
      <w:r>
        <w:t xml:space="preserve">Карта рисков управы района Черемушки</w:t>
      </w:r>
    </w:p>
    <w:p>
      <w:pPr>
        <w:pStyle w:val="FirstParagraph"/>
      </w:pPr>
      <w:r>
        <w:t xml:space="preserve">29.03.2019</w:t>
      </w:r>
    </w:p>
    <w:p>
      <w:pPr>
        <w:pStyle w:val="BodyText"/>
      </w:pPr>
      <w:r>
        <w:drawing>
          <wp:inline>
            <wp:extent cx="5334000" cy="29743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d29/karta-risk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4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http://cheremush.mos.ru/anti-corruption/plans-papers-reports-reviews-static-information-on-combating-corruption/detail/7985638.html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anti-corruption/plans-papers-reports-reviews-static-information-on-combating-corruption/detail/7985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anti-corruption/plans-papers-reports-reviews-static-information-on-combating-corruption/detail/7985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2025-04-09T02:20:36Z</dcterms:created>
  <dcterms:modified xsi:type="dcterms:W3CDTF">2025-04-09T02:20:36Z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