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одные-приметы-безопасности"/>
    <w:p>
      <w:pPr>
        <w:pStyle w:val="Heading3"/>
      </w:pPr>
      <w:r>
        <w:t xml:space="preserve">Народные приметы безопасности…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‍</w:t>
      </w:r>
    </w:p>
    <w:p>
      <w:pPr>
        <w:pStyle w:val="BodyText"/>
      </w:pPr>
      <w:r>
        <w:t xml:space="preserve">  Не вяжешь лыка - признак опьянения!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Купание в состоянии алкогольного опьянения становится причиной трагедий: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нетрезвый пловец тонет из-за спазма сосудов и судорог;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сердце бьётся сильнее - купальщик захлёбывается и становится жертвой пучины.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дожидайся водолаза на дне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http://cheremush.mos.ru/emercom/safety-on-the-water/detail/11741591.html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11741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11741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2025-04-09T02:33:34Z</dcterms:created>
  <dcterms:modified xsi:type="dcterms:W3CDTF">2025-04-09T02:33:34Z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