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о-время-отдыха-у-водоема"/>
    <w:p>
      <w:pPr>
        <w:pStyle w:val="Heading3"/>
      </w:pPr>
      <w:r>
        <w:t xml:space="preserve">Во время отдыха у водоема</w:t>
      </w:r>
    </w:p>
    <w:p>
      <w:pPr>
        <w:pStyle w:val="FirstParagraph"/>
      </w:pPr>
      <w:r>
        <w:t xml:space="preserve">14.08.2023</w:t>
      </w:r>
    </w:p>
    <w:p>
      <w:pPr>
        <w:pStyle w:val="BodyText"/>
      </w:pPr>
      <w:r>
        <w:drawing>
          <wp:inline>
            <wp:extent cx="5334000" cy="35160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4c2/g6wtwcn83qf9uu73mr6lne8lshshqudz/voda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0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http://cheremush.mos.ru/emercom/safety-on-the-water/detail/11771191.html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emercom/safety-on-the-water/detail/11771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emercom/safety-on-the-water/detail/11771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2025-04-09T02:33:35Z</dcterms:created>
  <dcterms:modified xsi:type="dcterms:W3CDTF">2025-04-09T02:33:35Z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