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78dcd7c75ae99f5f6eea021eada2ef8ec7ca"/>
    <w:p>
      <w:pPr>
        <w:pStyle w:val="Heading3"/>
      </w:pPr>
      <w:r>
        <w:t xml:space="preserve">Сотрудники ГИМС призывают судовладельцев не нарушать правила пользования маломерными судами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Навигационный период в столице продолжается, в связи с чем инспекторы Центра Государственной инспекции по маломерным судам Главного управления МЧС России по г. Москве рекомендуют владельцам плавсредств соблюдать правила пользования маломерными судами.</w:t>
      </w:r>
    </w:p>
    <w:p>
      <w:pPr>
        <w:pStyle w:val="BodyText"/>
      </w:pPr>
      <w:r>
        <w:t xml:space="preserve">Выходить на водные объекты и управлять маломерными моторными и парусными судами разрешается только в период навигации и только лицам, имеющим действующее удостоверение на право управления данным судном.</w:t>
      </w:r>
    </w:p>
    <w:p>
      <w:pPr>
        <w:pStyle w:val="BodyText"/>
      </w:pPr>
      <w:r>
        <w:t xml:space="preserve">При эксплуатации маломерных судов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№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рекомендует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http://cheremush.mos.ru/emercom/safety-on-the-water/detail/12559449.html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12559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12559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2025-04-09T02:33:45Z</dcterms:created>
  <dcterms:modified xsi:type="dcterms:W3CDTF">2025-04-09T02:33:45Z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