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что-делать-если-провалился-по-ледпамятка"/>
    <w:p>
      <w:pPr>
        <w:pStyle w:val="Heading3"/>
      </w:pPr>
      <w:r>
        <w:t xml:space="preserve">Что делать если провалился по лед?Памятка</w:t>
      </w:r>
    </w:p>
    <w:p>
      <w:pPr>
        <w:pStyle w:val="FirstParagraph"/>
      </w:pPr>
      <w:r>
        <w:t xml:space="preserve">26.11.2024</w:t>
      </w:r>
    </w:p>
    <w:p>
      <w:pPr>
        <w:pStyle w:val="BodyText"/>
      </w:pPr>
      <w:r>
        <w:drawing>
          <wp:inline>
            <wp:extent cx="5334000" cy="75322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emush.mos.ru/www/upload/medialibrary/d2c/87h9zbuscc8w1mkco8mkv8b2nbknc0r8/Snimok-ekrana-_51_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22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http://cheremush.mos.ru/emercom/safety-on-the-water/detail/12686675.html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emercom/safety-on-the-water/detail/126866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emercom/safety-on-the-water/detail/126866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2025-04-09T02:33:47Z</dcterms:created>
  <dcterms:modified xsi:type="dcterms:W3CDTF">2025-04-09T02:33:47Z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