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электронный-социальный-сертификат"/>
    <w:p>
      <w:pPr>
        <w:pStyle w:val="Heading3"/>
      </w:pPr>
      <w:r>
        <w:t xml:space="preserve">Электронный социальный сертификат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t xml:space="preserve">Что такое Электронный социальный сертификат, и какие привилегии он дает?</w:t>
      </w:r>
      <w:r>
        <w:br/>
      </w:r>
      <w:r>
        <w:t xml:space="preserve">Активируйте его и получите возможность оплачивать необходимые покупки Социальной картой москвича в магазинах-участниках партнерской программы.</w:t>
      </w:r>
      <w:r>
        <w:br/>
      </w:r>
      <w:r>
        <w:t xml:space="preserve">Узнайте обо всех возможностях социального сертификата из одноимённого ролика.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http://cheremush.mos.ru/presscenter/mediagallery/83729/2124018/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presscenter/mediagallery/83729/2124018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presscenter/mediagallery/83729/2124018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2025-07-08T03:11:08Z</dcterms:created>
  <dcterms:modified xsi:type="dcterms:W3CDTF">2025-07-08T03:11:08Z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