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d8f798da05dd52f93285fa9106653d70a271a98"/>
    <w:p>
      <w:pPr>
        <w:pStyle w:val="Heading3"/>
      </w:pPr>
      <w:r>
        <w:t xml:space="preserve">В технопарке "Слава" пройдет вебинар «Как создать свою историю успеха вместе с Build UP 2021»</w:t>
      </w:r>
    </w:p>
    <w:p>
      <w:pPr>
        <w:pStyle w:val="FirstParagraph"/>
      </w:pPr>
      <w:r>
        <w:t xml:space="preserve">21.06.2021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6f6/depositphotos_387319148_xl_2015_28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23 июня с 10:00 до 12:00 В тенопарке "Слава" пройдет вебинар</w:t>
      </w:r>
      <w:r>
        <w:t xml:space="preserve"> </w:t>
      </w:r>
      <w:r>
        <w:rPr>
          <w:bCs/>
          <w:b/>
        </w:rPr>
        <w:t xml:space="preserve">"Как создать свою историю успеха вместе с Build UP 2021"</w:t>
      </w:r>
      <w:r>
        <w:t xml:space="preserve">, посвященный Акселератору Build UP.</w:t>
      </w:r>
    </w:p>
    <w:p>
      <w:pPr>
        <w:pStyle w:val="BodyText"/>
      </w:pPr>
      <w:r>
        <w:t xml:space="preserve">Акселератор организован Фондом «Сколково» совместно с лидерами девелоперского рынка России: GASKAR GROUP, Монотек Строй, ГК Галс, ГК Основа, ГК ФСК.</w:t>
      </w:r>
    </w:p>
    <w:p>
      <w:pPr>
        <w:pStyle w:val="BodyText"/>
      </w:pPr>
      <w:r>
        <w:t xml:space="preserve">В рамках вебинара на вопросы потенциальных участников акселератора Build UP ответят организаторы акселератора.</w:t>
      </w:r>
    </w:p>
    <w:p>
      <w:pPr>
        <w:pStyle w:val="BodyText"/>
      </w:pPr>
      <w:r>
        <w:t xml:space="preserve">Победители акселератора 2020 года поделятся с новыми заявителями своим опытом участия в Build UP, расскажут о сложностях, с которыми столкнулись, и о том, как акселератор помог их преодолеть.</w:t>
      </w:r>
    </w:p>
    <w:p>
      <w:pPr>
        <w:pStyle w:val="BodyText"/>
      </w:pPr>
      <w:r>
        <w:rPr>
          <w:bCs/>
          <w:b/>
        </w:rPr>
        <w:t xml:space="preserve">Программа вебинара</w:t>
      </w:r>
      <w:r>
        <w:t xml:space="preserve">.</w:t>
      </w:r>
      <w:r>
        <w:br/>
      </w:r>
      <w:r>
        <w:rPr>
          <w:bCs/>
          <w:b/>
        </w:rPr>
        <w:t xml:space="preserve">10.00 – 10.10</w:t>
      </w:r>
      <w:r>
        <w:t xml:space="preserve"> </w:t>
      </w:r>
      <w:r>
        <w:t xml:space="preserve">- Михаил Тыкучинский, Директор по развитию, Фонд Сколково. Представление партнеров и формата акселератора Build UP 2021 года</w:t>
      </w:r>
      <w:r>
        <w:br/>
      </w:r>
      <w:r>
        <w:rPr>
          <w:bCs/>
          <w:b/>
        </w:rPr>
        <w:t xml:space="preserve">10.10 – 10.30</w:t>
      </w:r>
      <w:r>
        <w:t xml:space="preserve"> </w:t>
      </w:r>
      <w:r>
        <w:t xml:space="preserve">- Юрий Хаханов, Директор по акселерации проектов по городским технологиям, Фонд Сколково. Возможности для инновационных компаний в рамках акселератора Build UP</w:t>
      </w:r>
      <w:r>
        <w:br/>
      </w:r>
      <w:r>
        <w:rPr>
          <w:bCs/>
          <w:b/>
        </w:rPr>
        <w:t xml:space="preserve">10.30 – 11.00</w:t>
      </w:r>
      <w:r>
        <w:t xml:space="preserve"> </w:t>
      </w:r>
      <w:r>
        <w:t xml:space="preserve">– Опыт участников-победителей акселератора Build UP 2020</w:t>
      </w:r>
      <w:r>
        <w:br/>
      </w:r>
      <w:r>
        <w:rPr>
          <w:bCs/>
          <w:b/>
        </w:rPr>
        <w:t xml:space="preserve">11.00 – 12.00</w:t>
      </w:r>
      <w:r>
        <w:t xml:space="preserve"> </w:t>
      </w:r>
      <w:r>
        <w:t xml:space="preserve">– обсуждение Build UP 2021, ответы на вопросы потенциальных заявителей .</w:t>
      </w:r>
    </w:p>
    <w:p>
      <w:pPr>
        <w:pStyle w:val="BodyText"/>
      </w:pPr>
      <w:r>
        <w:t xml:space="preserve">Свой вопрос можно заранее отправить на почту</w:t>
      </w:r>
      <w:r>
        <w:t xml:space="preserve"> </w:t>
      </w:r>
      <w:hyperlink r:id="rId23">
        <w:r>
          <w:rPr>
            <w:rStyle w:val="Hyperlink"/>
          </w:rPr>
          <w:t xml:space="preserve">buildup@sk.ru</w:t>
        </w:r>
      </w:hyperlink>
      <w:r>
        <w:t xml:space="preserve"> </w:t>
      </w:r>
      <w:r>
        <w:t xml:space="preserve">или задать его в форме регистрации на вебинар</w:t>
      </w:r>
      <w:r>
        <w:t xml:space="preserve"> </w:t>
      </w:r>
      <w:hyperlink r:id="rId24">
        <w:r>
          <w:rPr>
            <w:rStyle w:val="Hyperlink"/>
          </w:rPr>
          <w:t xml:space="preserve">https://bu2.events.sk.ru/</w:t>
        </w:r>
      </w:hyperlink>
      <w:r>
        <w:t xml:space="preserve">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http://cheremush.mos.ru/presscenter/news/detail/10044709.html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cheremush.mos.ru" TargetMode="External" /><Relationship Type="http://schemas.openxmlformats.org/officeDocument/2006/relationships/hyperlink" Id="rId25" Target="http://cheremush.mos.ru/presscenter/news/detail/10044709.html" TargetMode="External" /><Relationship Type="http://schemas.openxmlformats.org/officeDocument/2006/relationships/hyperlink" Id="rId24" Target="https://bu2.events.sk.ru/" TargetMode="External" /><Relationship Type="http://schemas.openxmlformats.org/officeDocument/2006/relationships/hyperlink" Id="rId23" Target="mailto:buildup@sk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cheremush.mos.ru" TargetMode="External" /><Relationship Type="http://schemas.openxmlformats.org/officeDocument/2006/relationships/hyperlink" Id="rId25" Target="http://cheremush.mos.ru/presscenter/news/detail/10044709.html" TargetMode="External" /><Relationship Type="http://schemas.openxmlformats.org/officeDocument/2006/relationships/hyperlink" Id="rId24" Target="https://bu2.events.sk.ru/" TargetMode="External" /><Relationship Type="http://schemas.openxmlformats.org/officeDocument/2006/relationships/hyperlink" Id="rId23" Target="mailto:buildup@sk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2025-04-09T02:38:42Z</dcterms:created>
  <dcterms:modified xsi:type="dcterms:W3CDTF">2025-04-09T02:38:42Z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